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2" w14:textId="35D4D85B" w:rsidR="001F0C32" w:rsidRDefault="00C302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00878CF" wp14:editId="500F6F78">
            <wp:extent cx="3028950" cy="6022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328" cy="6100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52709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00000003" w14:textId="22456DB9" w:rsidR="001F0C32" w:rsidRDefault="007D7A78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Rocky Mountain Power’s 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Electric Vehicle Infrastructure Program (EVIP), approved by the Public Service Commission of Utah, requires “open standards and interoperability” 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or Electric Vehicle Supply Equipment (EVSE). The </w:t>
      </w:r>
      <w:r>
        <w:rPr>
          <w:rFonts w:ascii="Times New Roman" w:eastAsia="Times New Roman" w:hAnsi="Times New Roman" w:cs="Times New Roman"/>
          <w:sz w:val="24"/>
          <w:szCs w:val="24"/>
        </w:rPr>
        <w:t>primary intent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 of these requirement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 are:</w:t>
      </w:r>
    </w:p>
    <w:p w14:paraId="00000004" w14:textId="77777777" w:rsidR="001F0C32" w:rsidRDefault="00C302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000005" w14:textId="4DABFC34" w:rsidR="001F0C32" w:rsidRDefault="00C302BF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To minimize the risk of </w:t>
      </w:r>
      <w:r w:rsidR="007D7A78">
        <w:rPr>
          <w:rFonts w:ascii="Times New Roman" w:eastAsia="Times New Roman" w:hAnsi="Times New Roman" w:cs="Times New Roman"/>
          <w:sz w:val="24"/>
          <w:szCs w:val="24"/>
        </w:rPr>
        <w:t>EVIP</w:t>
      </w:r>
      <w:r w:rsidR="00AA7DBD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7A78">
        <w:rPr>
          <w:rFonts w:ascii="Times New Roman" w:eastAsia="Times New Roman" w:hAnsi="Times New Roman" w:cs="Times New Roman"/>
          <w:sz w:val="24"/>
          <w:szCs w:val="24"/>
        </w:rPr>
        <w:t>funded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EVSE becoming inoperable or stranded due to reliance on proprietary networking and software.</w:t>
      </w:r>
    </w:p>
    <w:p w14:paraId="00000006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7" w14:textId="24A946A6" w:rsidR="001F0C32" w:rsidRDefault="00AA7DBD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To m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aximize the potential for </w:t>
      </w:r>
      <w:r>
        <w:rPr>
          <w:rFonts w:ascii="Times New Roman" w:eastAsia="Times New Roman" w:hAnsi="Times New Roman" w:cs="Times New Roman"/>
          <w:sz w:val="24"/>
          <w:szCs w:val="24"/>
        </w:rPr>
        <w:t>EVIP</w:t>
      </w:r>
      <w:r w:rsidR="00313C04">
        <w:rPr>
          <w:rFonts w:ascii="Times New Roman" w:eastAsia="Times New Roman" w:hAnsi="Times New Roman" w:cs="Times New Roman"/>
          <w:sz w:val="24"/>
          <w:szCs w:val="24"/>
        </w:rPr>
        <w:t>-</w:t>
      </w:r>
      <w:r w:rsidR="007D7A78">
        <w:rPr>
          <w:rFonts w:ascii="Times New Roman" w:eastAsia="Times New Roman" w:hAnsi="Times New Roman" w:cs="Times New Roman"/>
          <w:sz w:val="24"/>
          <w:szCs w:val="24"/>
        </w:rPr>
        <w:t>funded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 EVSE to participate in future utility programs such as demand response. </w:t>
      </w:r>
    </w:p>
    <w:p w14:paraId="00000008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0B" w14:textId="462B24D0" w:rsidR="001F0C32" w:rsidRPr="00762C9A" w:rsidRDefault="0084405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  <w:r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Accordingly, i</w:t>
      </w:r>
      <w:r w:rsidR="00313C04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n order to qualify for the EVIP, your EVSE must:</w:t>
      </w:r>
    </w:p>
    <w:p w14:paraId="0C23585A" w14:textId="77777777" w:rsidR="00313C04" w:rsidRPr="00762C9A" w:rsidRDefault="00313C0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</w:p>
    <w:p w14:paraId="68A79444" w14:textId="029E994E" w:rsidR="00313C04" w:rsidRPr="00762C9A" w:rsidRDefault="00313C04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  <w:r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Be capable of</w:t>
      </w:r>
      <w:r w:rsidR="00C302BF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 operat</w:t>
      </w:r>
      <w:r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ing</w:t>
      </w:r>
      <w:r w:rsidR="00C302BF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 on a third-party OCPP server</w:t>
      </w:r>
      <w:r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;</w:t>
      </w:r>
      <w:r w:rsidR="00C302BF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 </w:t>
      </w:r>
    </w:p>
    <w:p w14:paraId="3071550A" w14:textId="77777777" w:rsidR="00313C04" w:rsidRPr="00762C9A" w:rsidRDefault="00313C04" w:rsidP="0082648F">
      <w:pPr>
        <w:spacing w:line="240" w:lineRule="auto"/>
        <w:ind w:left="720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</w:p>
    <w:p w14:paraId="0000000C" w14:textId="2C38184B" w:rsidR="001F0C32" w:rsidRPr="00762C9A" w:rsidRDefault="00313C04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  <w:r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Be</w:t>
      </w:r>
      <w:r w:rsidR="00C302BF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 </w:t>
      </w:r>
      <w:r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capable of being</w:t>
      </w:r>
      <w:r w:rsidR="00C302BF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 moved upon the customer's request</w:t>
      </w:r>
      <w:r w:rsidR="0011474D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 without additional cost to the customer</w:t>
      </w:r>
      <w:r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; and</w:t>
      </w:r>
    </w:p>
    <w:p w14:paraId="0000000D" w14:textId="77777777" w:rsidR="001F0C32" w:rsidRPr="00762C9A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</w:p>
    <w:p w14:paraId="0000000E" w14:textId="58ABD730" w:rsidR="001F0C32" w:rsidRPr="00762C9A" w:rsidRDefault="0015479F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  <w:r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Include </w:t>
      </w:r>
      <w:r w:rsidR="00C302BF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instructions from your organization </w:t>
      </w:r>
      <w:r w:rsidR="00762C9A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on </w:t>
      </w:r>
      <w:r w:rsidR="00C302BF" w:rsidRPr="00762C9A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how the transfer process to a third-party OCPP works</w:t>
      </w:r>
      <w:r w:rsidRPr="0082648F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.</w:t>
      </w:r>
      <w:r w:rsidR="005D36FF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 xml:space="preserve"> (See page </w:t>
      </w:r>
      <w:r w:rsidR="006E2D93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3</w:t>
      </w:r>
      <w:r w:rsidR="005D36FF"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  <w:t>)</w:t>
      </w:r>
    </w:p>
    <w:p w14:paraId="0000000F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E599"/>
        </w:rPr>
      </w:pPr>
    </w:p>
    <w:p w14:paraId="00000010" w14:textId="7DA9440D" w:rsidR="001F0C32" w:rsidRDefault="00762C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These requirements are subject to change at any time and will be periodically reviewed and updated as new products and industry standards enter the market. 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Rocky Mountain Power reserves the right to perform </w:t>
      </w:r>
      <w:r w:rsidR="009A0172">
        <w:rPr>
          <w:rFonts w:ascii="Times New Roman" w:eastAsia="Times New Roman" w:hAnsi="Times New Roman" w:cs="Times New Roman"/>
          <w:sz w:val="24"/>
          <w:szCs w:val="24"/>
        </w:rPr>
        <w:t xml:space="preserve">periodic 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>audit</w:t>
      </w:r>
      <w:r w:rsidR="009A0172">
        <w:rPr>
          <w:rFonts w:ascii="Times New Roman" w:eastAsia="Times New Roman" w:hAnsi="Times New Roman" w:cs="Times New Roman"/>
          <w:sz w:val="24"/>
          <w:szCs w:val="24"/>
        </w:rPr>
        <w:t>s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 to ensure your </w:t>
      </w:r>
      <w:r w:rsidR="0015479F">
        <w:rPr>
          <w:rFonts w:ascii="Times New Roman" w:eastAsia="Times New Roman" w:hAnsi="Times New Roman" w:cs="Times New Roman"/>
          <w:sz w:val="24"/>
          <w:szCs w:val="24"/>
        </w:rPr>
        <w:t>EVIP-qualified</w:t>
      </w:r>
      <w:r w:rsidR="009A01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>EV</w:t>
      </w:r>
      <w:r w:rsidR="0015479F">
        <w:rPr>
          <w:rFonts w:ascii="Times New Roman" w:eastAsia="Times New Roman" w:hAnsi="Times New Roman" w:cs="Times New Roman"/>
          <w:sz w:val="24"/>
          <w:szCs w:val="24"/>
        </w:rPr>
        <w:t xml:space="preserve">SE 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meets these stated requirements. If </w:t>
      </w:r>
      <w:r w:rsidR="0015479F">
        <w:rPr>
          <w:rFonts w:ascii="Times New Roman" w:eastAsia="Times New Roman" w:hAnsi="Times New Roman" w:cs="Times New Roman"/>
          <w:sz w:val="24"/>
          <w:szCs w:val="24"/>
        </w:rPr>
        <w:t>these audits reveal that your EVIP-funded EVSE do not meet these requirements,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 Rocky Mountain Power </w:t>
      </w:r>
      <w:r w:rsidR="009A0172">
        <w:rPr>
          <w:rFonts w:ascii="Times New Roman" w:eastAsia="Times New Roman" w:hAnsi="Times New Roman" w:cs="Times New Roman"/>
          <w:sz w:val="24"/>
          <w:szCs w:val="24"/>
        </w:rPr>
        <w:t xml:space="preserve">may 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 xml:space="preserve">require that you pay back the total dollars rebated for all charging stations rebated by Rocky Mountain Power. </w:t>
      </w:r>
    </w:p>
    <w:p w14:paraId="00000011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E0F674" w14:textId="01B8DCCA" w:rsidR="00762C9A" w:rsidRDefault="00762C9A" w:rsidP="0082648F">
      <w:pPr>
        <w:pStyle w:val="NoSpacing"/>
      </w:pPr>
      <w:r w:rsidRPr="00424B01">
        <w:rPr>
          <w:rFonts w:ascii="Times New Roman" w:eastAsia="Times New Roman" w:hAnsi="Times New Roman" w:cs="Times New Roman"/>
          <w:sz w:val="24"/>
          <w:szCs w:val="24"/>
        </w:rPr>
        <w:t>I confirm I have read, understand, and agree with the terms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24B01">
        <w:rPr>
          <w:rFonts w:ascii="Times New Roman" w:eastAsia="Times New Roman" w:hAnsi="Times New Roman" w:cs="Times New Roman"/>
          <w:sz w:val="24"/>
          <w:szCs w:val="24"/>
        </w:rPr>
        <w:t>and conditions and agree to be bound by them.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4B01" w:rsidRPr="00424B01">
        <w:rPr>
          <w:rFonts w:ascii="Times New Roman" w:eastAsia="Times New Roman" w:hAnsi="Times New Roman" w:cs="Times New Roman"/>
          <w:sz w:val="24"/>
          <w:szCs w:val="24"/>
        </w:rPr>
        <w:t xml:space="preserve">I certify that all information </w:t>
      </w:r>
      <w:r>
        <w:rPr>
          <w:rFonts w:ascii="Times New Roman" w:eastAsia="Times New Roman" w:hAnsi="Times New Roman" w:cs="Times New Roman"/>
          <w:sz w:val="24"/>
          <w:szCs w:val="24"/>
        </w:rPr>
        <w:t>that I have provided is</w:t>
      </w:r>
      <w:r w:rsidR="00424B01" w:rsidRPr="00424B01">
        <w:rPr>
          <w:rFonts w:ascii="Times New Roman" w:eastAsia="Times New Roman" w:hAnsi="Times New Roman" w:cs="Times New Roman"/>
          <w:sz w:val="24"/>
          <w:szCs w:val="24"/>
        </w:rPr>
        <w:t xml:space="preserve"> accurate</w:t>
      </w:r>
      <w:r w:rsidR="0084405B">
        <w:rPr>
          <w:rFonts w:ascii="Times New Roman" w:eastAsia="Times New Roman" w:hAnsi="Times New Roman" w:cs="Times New Roman"/>
          <w:sz w:val="24"/>
          <w:szCs w:val="24"/>
        </w:rPr>
        <w:t>,</w:t>
      </w:r>
      <w:r w:rsidR="00424B01" w:rsidRPr="00424B01">
        <w:rPr>
          <w:rFonts w:ascii="Times New Roman" w:eastAsia="Times New Roman" w:hAnsi="Times New Roman" w:cs="Times New Roman"/>
          <w:sz w:val="24"/>
          <w:szCs w:val="24"/>
        </w:rPr>
        <w:t xml:space="preserve"> including</w:t>
      </w:r>
      <w:r w:rsidR="008440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5479F">
        <w:rPr>
          <w:rFonts w:ascii="Times New Roman" w:eastAsia="Times New Roman" w:hAnsi="Times New Roman" w:cs="Times New Roman"/>
          <w:sz w:val="24"/>
          <w:szCs w:val="24"/>
        </w:rPr>
        <w:t>EVSE</w:t>
      </w:r>
      <w:r w:rsidR="00424B01" w:rsidRPr="00424B01">
        <w:rPr>
          <w:rFonts w:ascii="Times New Roman" w:eastAsia="Times New Roman" w:hAnsi="Times New Roman" w:cs="Times New Roman"/>
          <w:sz w:val="24"/>
          <w:szCs w:val="24"/>
        </w:rPr>
        <w:t xml:space="preserve"> information</w:t>
      </w:r>
      <w:r w:rsidR="0084405B">
        <w:rPr>
          <w:rFonts w:ascii="Times New Roman" w:eastAsia="Times New Roman" w:hAnsi="Times New Roman" w:cs="Times New Roman"/>
          <w:sz w:val="24"/>
          <w:szCs w:val="24"/>
        </w:rPr>
        <w:t xml:space="preserve"> and any supplemental material</w:t>
      </w:r>
      <w:r w:rsidR="00424B01" w:rsidRPr="00424B0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00000013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4" w14:textId="4DEC70C6" w:rsidR="001F0C32" w:rsidRDefault="00C302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Name of </w:t>
      </w:r>
      <w:r w:rsidR="009A0172">
        <w:rPr>
          <w:rFonts w:ascii="Times New Roman" w:eastAsia="Times New Roman" w:hAnsi="Times New Roman" w:cs="Times New Roman"/>
          <w:sz w:val="24"/>
          <w:szCs w:val="24"/>
        </w:rPr>
        <w:t>Organization: 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="005D36F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 w:rsidR="001347DF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D36FF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</w:t>
      </w:r>
    </w:p>
    <w:p w14:paraId="00000015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6" w14:textId="01EDA6B1" w:rsidR="001F0C32" w:rsidRDefault="00C302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Name Organization Representative: _____________</w:t>
      </w:r>
      <w:r w:rsidR="005D36F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1347DF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5D36FF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14:paraId="2407FEBA" w14:textId="61C3FBA9" w:rsidR="005D36FF" w:rsidRDefault="005D3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69A7749" w14:textId="0F704958" w:rsidR="005D36FF" w:rsidRDefault="005D36F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Organization Representative: ____________</w:t>
      </w:r>
      <w:r w:rsidR="001347DF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14:paraId="00000017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A" w14:textId="35074CE6" w:rsidR="001F0C32" w:rsidRDefault="00C302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Phone: _________</w:t>
      </w:r>
      <w:r w:rsidR="005D36FF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D36FF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="005D3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Email: __________________________</w:t>
      </w:r>
      <w:r w:rsidR="005D36FF">
        <w:rPr>
          <w:rFonts w:ascii="Times New Roman" w:eastAsia="Times New Roman" w:hAnsi="Times New Roman" w:cs="Times New Roman"/>
          <w:sz w:val="24"/>
          <w:szCs w:val="24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14:paraId="4F2FC015" w14:textId="77777777" w:rsidR="00762C9A" w:rsidRDefault="00762C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1F" w14:textId="13F85F4E" w:rsidR="001F0C32" w:rsidRDefault="00C302B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Signature</w:t>
      </w:r>
      <w:r w:rsidR="00762C9A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  <w:r w:rsidR="001347DF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00000020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0000021" w14:textId="04E853E4" w:rsidR="001F0C32" w:rsidRDefault="001347D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Date: _</w:t>
      </w:r>
      <w:r w:rsidR="00C302BF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14:paraId="00000023" w14:textId="77777777" w:rsidR="001F0C32" w:rsidRDefault="001F0C3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1F461E6" w14:textId="2EBDF647" w:rsidR="00AE751E" w:rsidRPr="00B22DF9" w:rsidRDefault="00AE751E" w:rsidP="00064DE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22DF9">
        <w:rPr>
          <w:rFonts w:ascii="Times New Roman" w:hAnsi="Times New Roman" w:cs="Times New Roman"/>
          <w:b/>
          <w:bCs/>
          <w:sz w:val="24"/>
          <w:szCs w:val="24"/>
        </w:rPr>
        <w:t>RMP OPEN EVSE SPECIFICATIONS</w:t>
      </w:r>
    </w:p>
    <w:p w14:paraId="775C913D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0CDD348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b/>
          <w:bCs/>
          <w:sz w:val="24"/>
          <w:szCs w:val="24"/>
        </w:rPr>
        <w:t>Applicability:</w:t>
      </w:r>
      <w:r w:rsidRPr="00B22DF9">
        <w:rPr>
          <w:rFonts w:ascii="Times New Roman" w:hAnsi="Times New Roman" w:cs="Times New Roman"/>
          <w:sz w:val="24"/>
          <w:szCs w:val="24"/>
        </w:rPr>
        <w:t xml:space="preserve"> these specifications apply to AC Level 2 and DC EVSE with a focus on charging light duty vehicles. Specialized charging systems such as wireless and pantograph, and other EVSE dedicated to Medium Duty / Heavy Duty applications will be considered on a case-by-case basis. </w:t>
      </w:r>
    </w:p>
    <w:p w14:paraId="432F2A54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377A2B3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DF9">
        <w:rPr>
          <w:rFonts w:ascii="Times New Roman" w:hAnsi="Times New Roman" w:cs="Times New Roman"/>
          <w:b/>
          <w:bCs/>
          <w:sz w:val="24"/>
          <w:szCs w:val="24"/>
        </w:rPr>
        <w:t>1) “Smart” Networked EVSE</w:t>
      </w:r>
    </w:p>
    <w:p w14:paraId="1FA959C3" w14:textId="0E661653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 xml:space="preserve">Participating EVSEs must be capable of being networked in order to collect and report data and receive control signals for participation in future utility management programs. </w:t>
      </w:r>
      <w:r w:rsidRPr="00B22DF9">
        <w:rPr>
          <w:rFonts w:ascii="Times New Roman" w:hAnsi="Times New Roman" w:cs="Times New Roman"/>
          <w:i/>
          <w:iCs/>
          <w:sz w:val="24"/>
          <w:szCs w:val="24"/>
        </w:rPr>
        <w:t xml:space="preserve">Note EVSE must not </w:t>
      </w:r>
      <w:r w:rsidR="001347DF" w:rsidRPr="00B22DF9">
        <w:rPr>
          <w:rFonts w:ascii="Times New Roman" w:hAnsi="Times New Roman" w:cs="Times New Roman"/>
          <w:i/>
          <w:iCs/>
          <w:sz w:val="24"/>
          <w:szCs w:val="24"/>
        </w:rPr>
        <w:t>necessarily</w:t>
      </w:r>
      <w:r w:rsidRPr="00B22DF9">
        <w:rPr>
          <w:rFonts w:ascii="Times New Roman" w:hAnsi="Times New Roman" w:cs="Times New Roman"/>
          <w:i/>
          <w:iCs/>
          <w:sz w:val="24"/>
          <w:szCs w:val="24"/>
        </w:rPr>
        <w:t xml:space="preserve"> be connected to a network to participate in incentive programs,</w:t>
      </w:r>
      <w:r w:rsidR="003516E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22DF9">
        <w:rPr>
          <w:rFonts w:ascii="Times New Roman" w:hAnsi="Times New Roman" w:cs="Times New Roman"/>
          <w:i/>
          <w:iCs/>
          <w:sz w:val="24"/>
          <w:szCs w:val="24"/>
        </w:rPr>
        <w:t>but must be capable of connecting at a later date if required to participate in utility programs.</w:t>
      </w:r>
    </w:p>
    <w:p w14:paraId="3EE5522D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E8E54FF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DF9">
        <w:rPr>
          <w:rFonts w:ascii="Times New Roman" w:hAnsi="Times New Roman" w:cs="Times New Roman"/>
          <w:b/>
          <w:bCs/>
          <w:sz w:val="24"/>
          <w:szCs w:val="24"/>
        </w:rPr>
        <w:t>2) Vehicle Connector</w:t>
      </w:r>
    </w:p>
    <w:p w14:paraId="355FB3DF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>An Open EVSE that provides Level 2 (“L2”) AC power will have at least one (1) J-1772 connector.</w:t>
      </w:r>
    </w:p>
    <w:p w14:paraId="338447F5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>An Open EVSE that provides DC power will have at least one (1) CCS Type 1 connector.</w:t>
      </w:r>
    </w:p>
    <w:p w14:paraId="74C94297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80C8AB9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DF9">
        <w:rPr>
          <w:rFonts w:ascii="Times New Roman" w:hAnsi="Times New Roman" w:cs="Times New Roman"/>
          <w:b/>
          <w:bCs/>
          <w:sz w:val="24"/>
          <w:szCs w:val="24"/>
        </w:rPr>
        <w:t>3) DC Charging Protocol</w:t>
      </w:r>
    </w:p>
    <w:p w14:paraId="4432BC64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>Each CCS Type 1 connector on an Open EVSE will support charging vehicles with both the DIN 70121 charging protocol and ISO 15118 charging protocol.</w:t>
      </w:r>
    </w:p>
    <w:p w14:paraId="6972125B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8371894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DF9">
        <w:rPr>
          <w:rFonts w:ascii="Times New Roman" w:hAnsi="Times New Roman" w:cs="Times New Roman"/>
          <w:b/>
          <w:bCs/>
          <w:sz w:val="24"/>
          <w:szCs w:val="24"/>
        </w:rPr>
        <w:t>4) Communications</w:t>
      </w:r>
    </w:p>
    <w:p w14:paraId="54B6D8B4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>An Open EVSE will have one or more of the following communications capabilities that can be reconfigured by the owner or reconfigured at the owner’s request of the manufacturer:</w:t>
      </w:r>
    </w:p>
    <w:p w14:paraId="05A463A9" w14:textId="77777777" w:rsidR="00AE751E" w:rsidRPr="00B22DF9" w:rsidRDefault="00AE751E" w:rsidP="00AE751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>a. Ethernet</w:t>
      </w:r>
    </w:p>
    <w:p w14:paraId="0E8FFDF3" w14:textId="77777777" w:rsidR="00AE751E" w:rsidRPr="00B22DF9" w:rsidRDefault="00AE751E" w:rsidP="00AE751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 xml:space="preserve">b. </w:t>
      </w:r>
      <w:proofErr w:type="spellStart"/>
      <w:r w:rsidRPr="00B22DF9">
        <w:rPr>
          <w:rFonts w:ascii="Times New Roman" w:hAnsi="Times New Roman" w:cs="Times New Roman"/>
          <w:sz w:val="24"/>
          <w:szCs w:val="24"/>
        </w:rPr>
        <w:t>WiFi</w:t>
      </w:r>
      <w:proofErr w:type="spellEnd"/>
    </w:p>
    <w:p w14:paraId="450E058E" w14:textId="77777777" w:rsidR="00AE751E" w:rsidRPr="00B22DF9" w:rsidRDefault="00AE751E" w:rsidP="00AE751E">
      <w:pPr>
        <w:spacing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>c. Cellular</w:t>
      </w:r>
    </w:p>
    <w:p w14:paraId="45F7EDDB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36CB928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DF9">
        <w:rPr>
          <w:rFonts w:ascii="Times New Roman" w:hAnsi="Times New Roman" w:cs="Times New Roman"/>
          <w:b/>
          <w:bCs/>
          <w:sz w:val="24"/>
          <w:szCs w:val="24"/>
        </w:rPr>
        <w:t>5) Server Protocol</w:t>
      </w:r>
    </w:p>
    <w:p w14:paraId="0D082221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>An Open EVSE will implement the OCPP 1.6J protocol, including at minimum the OCPP Core, Firmware, and Smart Charging profiles.</w:t>
      </w:r>
    </w:p>
    <w:p w14:paraId="0C12035D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A17C32E" w14:textId="77777777" w:rsidR="00AE751E" w:rsidRPr="00B22DF9" w:rsidRDefault="00AE751E" w:rsidP="00AE751E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22DF9">
        <w:rPr>
          <w:rFonts w:ascii="Times New Roman" w:hAnsi="Times New Roman" w:cs="Times New Roman"/>
          <w:b/>
          <w:bCs/>
          <w:sz w:val="24"/>
          <w:szCs w:val="24"/>
        </w:rPr>
        <w:t xml:space="preserve">6) Server Portability </w:t>
      </w:r>
    </w:p>
    <w:p w14:paraId="7CE82871" w14:textId="7C08F49F" w:rsidR="006E2D93" w:rsidRPr="00064DEC" w:rsidRDefault="00AE751E" w:rsidP="006E2D9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22DF9">
        <w:rPr>
          <w:rFonts w:ascii="Times New Roman" w:hAnsi="Times New Roman" w:cs="Times New Roman"/>
          <w:sz w:val="24"/>
          <w:szCs w:val="24"/>
        </w:rPr>
        <w:t>An Open EVSE will be capable of operating on multiple 3</w:t>
      </w:r>
      <w:r w:rsidRPr="00B22DF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Pr="00B22DF9">
        <w:rPr>
          <w:rFonts w:ascii="Times New Roman" w:hAnsi="Times New Roman" w:cs="Times New Roman"/>
          <w:sz w:val="24"/>
          <w:szCs w:val="24"/>
        </w:rPr>
        <w:t xml:space="preserve"> party OCPP server platforms (CPOs) and provide the option for the server endpoint to be changed by the owner or changed at the owner’s request of the manufacturer.</w:t>
      </w:r>
      <w:r w:rsidR="006E2D93">
        <w:rPr>
          <w:rFonts w:ascii="Times New Roman" w:eastAsia="Times New Roman" w:hAnsi="Times New Roman" w:cs="Times New Roman"/>
          <w:b/>
          <w:bCs/>
          <w:sz w:val="24"/>
          <w:szCs w:val="24"/>
        </w:rPr>
        <w:br w:type="page"/>
      </w:r>
      <w:r w:rsidR="006E2D93" w:rsidRPr="005B76B5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The following EVSE meets the requirements for qualification under the EVIP:</w:t>
      </w:r>
    </w:p>
    <w:p w14:paraId="71646F62" w14:textId="77777777" w:rsidR="006E2D93" w:rsidRDefault="006E2D93" w:rsidP="006E2D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05"/>
        <w:gridCol w:w="4500"/>
        <w:gridCol w:w="2245"/>
      </w:tblGrid>
      <w:tr w:rsidR="006E2D93" w14:paraId="7CDB8650" w14:textId="77777777" w:rsidTr="005B76B5">
        <w:tc>
          <w:tcPr>
            <w:tcW w:w="2605" w:type="dxa"/>
          </w:tcPr>
          <w:p w14:paraId="3511F804" w14:textId="77777777" w:rsidR="006E2D93" w:rsidRPr="0082648F" w:rsidRDefault="006E2D93" w:rsidP="005B7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48F">
              <w:rPr>
                <w:rFonts w:ascii="Times New Roman" w:eastAsia="Times New Roman" w:hAnsi="Times New Roman" w:cs="Times New Roman"/>
                <w:sz w:val="24"/>
                <w:szCs w:val="24"/>
              </w:rPr>
              <w:t>Manufacturer</w:t>
            </w:r>
          </w:p>
        </w:tc>
        <w:tc>
          <w:tcPr>
            <w:tcW w:w="4500" w:type="dxa"/>
            <w:shd w:val="clear" w:color="auto" w:fill="FFFFFF" w:themeFill="background1"/>
          </w:tcPr>
          <w:p w14:paraId="0D647D36" w14:textId="77777777" w:rsidR="006E2D93" w:rsidRPr="0082648F" w:rsidRDefault="006E2D93" w:rsidP="005B7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</w:t>
            </w:r>
            <w:r w:rsidRPr="0082648F">
              <w:rPr>
                <w:rFonts w:ascii="Times New Roman" w:eastAsia="Times New Roman" w:hAnsi="Times New Roman" w:cs="Times New Roman"/>
                <w:sz w:val="24"/>
                <w:szCs w:val="24"/>
              </w:rPr>
              <w:t>odel</w:t>
            </w:r>
          </w:p>
        </w:tc>
        <w:tc>
          <w:tcPr>
            <w:tcW w:w="2245" w:type="dxa"/>
          </w:tcPr>
          <w:p w14:paraId="6324263B" w14:textId="77777777" w:rsidR="006E2D93" w:rsidRPr="0082648F" w:rsidRDefault="006E2D93" w:rsidP="005B76B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648F">
              <w:rPr>
                <w:rFonts w:ascii="Times New Roman" w:eastAsia="Times New Roman" w:hAnsi="Times New Roman" w:cs="Times New Roman"/>
                <w:sz w:val="24"/>
                <w:szCs w:val="24"/>
              </w:rPr>
              <w:t>Type (AC, DC)</w:t>
            </w:r>
          </w:p>
        </w:tc>
      </w:tr>
      <w:tr w:rsidR="006E2D93" w14:paraId="6A8B7588" w14:textId="77777777" w:rsidTr="005B76B5">
        <w:tc>
          <w:tcPr>
            <w:tcW w:w="2605" w:type="dxa"/>
          </w:tcPr>
          <w:p w14:paraId="0CBCA5F3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C370A8F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269CDB07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D93" w14:paraId="52EB5772" w14:textId="77777777" w:rsidTr="005B76B5">
        <w:tc>
          <w:tcPr>
            <w:tcW w:w="2605" w:type="dxa"/>
          </w:tcPr>
          <w:p w14:paraId="0328C205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4DA7E49A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3CF9B6EC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D93" w14:paraId="6B7858EF" w14:textId="77777777" w:rsidTr="005B76B5">
        <w:tc>
          <w:tcPr>
            <w:tcW w:w="2605" w:type="dxa"/>
          </w:tcPr>
          <w:p w14:paraId="298696D8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2B559B8F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0E3D948B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D93" w14:paraId="00B38FB8" w14:textId="77777777" w:rsidTr="005B76B5">
        <w:tc>
          <w:tcPr>
            <w:tcW w:w="2605" w:type="dxa"/>
          </w:tcPr>
          <w:p w14:paraId="02F8AAC2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18BB978A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6FB1526A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E2D93" w14:paraId="7BD503A9" w14:textId="77777777" w:rsidTr="005B76B5">
        <w:tc>
          <w:tcPr>
            <w:tcW w:w="2605" w:type="dxa"/>
          </w:tcPr>
          <w:p w14:paraId="039D25D8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00" w:type="dxa"/>
          </w:tcPr>
          <w:p w14:paraId="3EC17216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5" w:type="dxa"/>
          </w:tcPr>
          <w:p w14:paraId="1E42982F" w14:textId="77777777" w:rsidR="006E2D93" w:rsidRDefault="006E2D93" w:rsidP="005B76B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5FA5A43" w14:textId="77777777" w:rsidR="006E2D93" w:rsidRDefault="006E2D93" w:rsidP="006E2D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0659D85" w14:textId="77777777" w:rsidR="006E2D93" w:rsidRPr="005B76B5" w:rsidRDefault="006E2D93" w:rsidP="006E2D9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76B5">
        <w:rPr>
          <w:rFonts w:ascii="Times New Roman" w:eastAsia="Times New Roman" w:hAnsi="Times New Roman" w:cs="Times New Roman"/>
          <w:b/>
          <w:bCs/>
          <w:sz w:val="24"/>
          <w:szCs w:val="24"/>
        </w:rPr>
        <w:t>The following instructions outline the transfer process to a third-party OCPP: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t>Include instructions here or indicate an additional document is included.</w:t>
      </w:r>
    </w:p>
    <w:p w14:paraId="1BDA412B" w14:textId="77777777" w:rsidR="006E2D93" w:rsidRPr="00B22DF9" w:rsidRDefault="006E2D93" w:rsidP="00AE75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F4E8294" w14:textId="77777777" w:rsidR="00AE751E" w:rsidRDefault="00AE751E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sectPr w:rsidR="00AE751E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E083D" w14:textId="77777777" w:rsidR="00E86E7B" w:rsidRDefault="00E86E7B">
      <w:pPr>
        <w:spacing w:line="240" w:lineRule="auto"/>
      </w:pPr>
      <w:r>
        <w:separator/>
      </w:r>
    </w:p>
  </w:endnote>
  <w:endnote w:type="continuationSeparator" w:id="0">
    <w:p w14:paraId="1718C96E" w14:textId="77777777" w:rsidR="00E86E7B" w:rsidRDefault="00E86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6" w14:textId="7D7325D2" w:rsidR="001F0C32" w:rsidRDefault="00C302BF">
    <w:pPr>
      <w:spacing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u w:val="single"/>
      </w:rPr>
    </w:pPr>
    <w:r>
      <w:rPr>
        <w:rFonts w:ascii="Times New Roman" w:eastAsia="Times New Roman" w:hAnsi="Times New Roman" w:cs="Times New Roman"/>
        <w:b/>
        <w:sz w:val="24"/>
        <w:szCs w:val="24"/>
        <w:u w:val="single"/>
      </w:rPr>
      <w:t xml:space="preserve">Please send the above form and instructions to: </w:t>
    </w:r>
    <w:r w:rsidR="006E2D93">
      <w:rPr>
        <w:rFonts w:ascii="Times New Roman" w:eastAsia="Times New Roman" w:hAnsi="Times New Roman" w:cs="Times New Roman"/>
        <w:b/>
        <w:sz w:val="24"/>
        <w:szCs w:val="24"/>
        <w:u w:val="single"/>
      </w:rPr>
      <w:t>EV@RockyMountainPower.net</w:t>
    </w:r>
  </w:p>
  <w:p w14:paraId="00000027" w14:textId="77777777" w:rsidR="001F0C32" w:rsidRDefault="001F0C3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3FD87" w14:textId="77777777" w:rsidR="00E86E7B" w:rsidRDefault="00E86E7B">
      <w:pPr>
        <w:spacing w:line="240" w:lineRule="auto"/>
      </w:pPr>
      <w:r>
        <w:separator/>
      </w:r>
    </w:p>
  </w:footnote>
  <w:footnote w:type="continuationSeparator" w:id="0">
    <w:p w14:paraId="0500BCFD" w14:textId="77777777" w:rsidR="00E86E7B" w:rsidRDefault="00E86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59FF5" w14:textId="77777777" w:rsidR="006E2D93" w:rsidRDefault="006E2D93" w:rsidP="00064DE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4605A"/>
    <w:multiLevelType w:val="multilevel"/>
    <w:tmpl w:val="40FA46A8"/>
    <w:lvl w:ilvl="0">
      <w:start w:val="1"/>
      <w:numFmt w:val="decimal"/>
      <w:lvlText w:val="%1.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7890A1B"/>
    <w:multiLevelType w:val="multilevel"/>
    <w:tmpl w:val="A2D66BE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7F66DAB"/>
    <w:multiLevelType w:val="multilevel"/>
    <w:tmpl w:val="FE3C01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0C32"/>
    <w:rsid w:val="00064DEC"/>
    <w:rsid w:val="0011474D"/>
    <w:rsid w:val="001347DF"/>
    <w:rsid w:val="0015479F"/>
    <w:rsid w:val="00156BCC"/>
    <w:rsid w:val="001F0C32"/>
    <w:rsid w:val="00313C04"/>
    <w:rsid w:val="003516E3"/>
    <w:rsid w:val="00352709"/>
    <w:rsid w:val="00424B01"/>
    <w:rsid w:val="00456A12"/>
    <w:rsid w:val="00542A74"/>
    <w:rsid w:val="005D36FF"/>
    <w:rsid w:val="006E2D93"/>
    <w:rsid w:val="00762C9A"/>
    <w:rsid w:val="007D7A78"/>
    <w:rsid w:val="0082648F"/>
    <w:rsid w:val="0084405B"/>
    <w:rsid w:val="008A711A"/>
    <w:rsid w:val="009A0172"/>
    <w:rsid w:val="00AA7DBD"/>
    <w:rsid w:val="00AE751E"/>
    <w:rsid w:val="00B22DF9"/>
    <w:rsid w:val="00BF2251"/>
    <w:rsid w:val="00C302BF"/>
    <w:rsid w:val="00E25A29"/>
    <w:rsid w:val="00E86E7B"/>
    <w:rsid w:val="00FD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FBE8160"/>
  <w15:docId w15:val="{18037DC3-1158-46BF-9F42-C376D8804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24B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oSpacing">
    <w:name w:val="No Spacing"/>
    <w:uiPriority w:val="1"/>
    <w:qFormat/>
    <w:rsid w:val="00424B01"/>
    <w:pPr>
      <w:spacing w:line="240" w:lineRule="auto"/>
    </w:pPr>
  </w:style>
  <w:style w:type="table" w:styleId="TableGrid">
    <w:name w:val="Table Grid"/>
    <w:basedOn w:val="TableNormal"/>
    <w:uiPriority w:val="39"/>
    <w:rsid w:val="00424B0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C302BF"/>
    <w:pPr>
      <w:spacing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13C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3C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3C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3C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3C0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E2D9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2D93"/>
  </w:style>
  <w:style w:type="paragraph" w:styleId="Footer">
    <w:name w:val="footer"/>
    <w:basedOn w:val="Normal"/>
    <w:link w:val="FooterChar"/>
    <w:uiPriority w:val="99"/>
    <w:unhideWhenUsed/>
    <w:rsid w:val="006E2D9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2D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038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ADA09-EDC9-4624-818F-F716008BD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Grant, Shawn (PacifiCorp)</dc:creator>
  <cp:lastModifiedBy>Beery, Heather (PacifiCorp)</cp:lastModifiedBy>
  <cp:revision>5</cp:revision>
  <dcterms:created xsi:type="dcterms:W3CDTF">2022-07-08T21:48:00Z</dcterms:created>
  <dcterms:modified xsi:type="dcterms:W3CDTF">2022-07-08T22:02:00Z</dcterms:modified>
</cp:coreProperties>
</file>